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DBB7B">
      <w:pPr>
        <w:spacing w:before="142" w:line="160" w:lineRule="auto"/>
        <w:ind w:left="1817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3"/>
          <w:sz w:val="32"/>
          <w:szCs w:val="32"/>
        </w:rPr>
        <w:t>广东</w:t>
      </w:r>
      <w:r>
        <w:rPr>
          <w:rFonts w:ascii="微软雅黑" w:hAnsi="微软雅黑" w:eastAsia="微软雅黑" w:cs="微软雅黑"/>
          <w:spacing w:val="7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>"智慧团建</w:t>
      </w:r>
      <w:r>
        <w:rPr>
          <w:position w:val="16"/>
          <w:sz w:val="32"/>
          <w:szCs w:val="32"/>
        </w:rPr>
        <w:drawing>
          <wp:inline distT="0" distB="0" distL="0" distR="0">
            <wp:extent cx="95250" cy="69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451" cy="6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7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>系统相关数据查询指南</w:t>
      </w:r>
    </w:p>
    <w:p w14:paraId="6FE56BE1">
      <w:pPr>
        <w:pStyle w:val="2"/>
        <w:spacing w:before="195" w:line="224" w:lineRule="auto"/>
        <w:ind w:left="602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1.平均业务及时响应率查询办法</w:t>
      </w:r>
    </w:p>
    <w:p w14:paraId="0F2F3E84">
      <w:pPr>
        <w:pStyle w:val="2"/>
        <w:spacing w:before="181" w:line="518" w:lineRule="exact"/>
        <w:ind w:left="630"/>
      </w:pPr>
      <w:r>
        <w:rPr>
          <w:spacing w:val="-3"/>
          <w:position w:val="17"/>
        </w:rPr>
        <w:t>申报人（单位）需登录广东“智慧团建</w:t>
      </w:r>
      <w:r>
        <w:rPr>
          <w:spacing w:val="-103"/>
          <w:position w:val="17"/>
        </w:rPr>
        <w:t xml:space="preserve"> </w:t>
      </w:r>
      <w:r>
        <w:rPr>
          <w:spacing w:val="-3"/>
          <w:position w:val="17"/>
        </w:rPr>
        <w:t>”系统</w:t>
      </w:r>
      <w:r>
        <w:rPr>
          <w:spacing w:val="-4"/>
          <w:position w:val="17"/>
        </w:rPr>
        <w:t>查询“本级及下级及</w:t>
      </w:r>
    </w:p>
    <w:p w14:paraId="5FC8E263">
      <w:pPr>
        <w:pStyle w:val="2"/>
        <w:spacing w:before="1" w:line="220" w:lineRule="auto"/>
        <w:ind w:left="48"/>
      </w:pPr>
      <w:r>
        <w:rPr>
          <w:spacing w:val="-7"/>
        </w:rPr>
        <w:t>时响应率</w:t>
      </w:r>
      <w:r>
        <w:rPr>
          <w:spacing w:val="-100"/>
        </w:rPr>
        <w:t xml:space="preserve"> </w:t>
      </w:r>
      <w:r>
        <w:rPr>
          <w:spacing w:val="-7"/>
        </w:rPr>
        <w:t>”并计算得出。</w:t>
      </w:r>
    </w:p>
    <w:p w14:paraId="79C02BF5">
      <w:pPr>
        <w:spacing w:before="35" w:line="2097" w:lineRule="exact"/>
        <w:ind w:firstLine="132"/>
      </w:pPr>
      <w:r>
        <w:rPr>
          <w:position w:val="-41"/>
        </w:rPr>
        <w:drawing>
          <wp:inline distT="0" distB="0" distL="0" distR="0">
            <wp:extent cx="5541010" cy="13315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B16E">
      <w:pPr>
        <w:pStyle w:val="2"/>
        <w:spacing w:before="177" w:line="521" w:lineRule="exact"/>
        <w:ind w:left="592"/>
      </w:pPr>
      <w:r>
        <w:rPr>
          <w:spacing w:val="-1"/>
          <w:position w:val="18"/>
        </w:rPr>
        <w:t>如图所示，点击左侧菜单栏数据统计模块，查看到本级及下级团组</w:t>
      </w:r>
    </w:p>
    <w:p w14:paraId="77FA8760">
      <w:pPr>
        <w:pStyle w:val="2"/>
        <w:spacing w:before="1" w:line="222" w:lineRule="auto"/>
        <w:ind w:left="33"/>
      </w:pPr>
      <w:r>
        <w:rPr>
          <w:spacing w:val="-7"/>
        </w:rPr>
        <w:t>织</w:t>
      </w:r>
      <w:r>
        <w:rPr>
          <w:spacing w:val="-54"/>
        </w:rPr>
        <w:t xml:space="preserve"> 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</w:t>
      </w:r>
      <w:r>
        <w:rPr>
          <w:spacing w:val="-57"/>
        </w:rPr>
        <w:t xml:space="preserve"> </w:t>
      </w:r>
      <w:r>
        <w:rPr>
          <w:spacing w:val="-7"/>
        </w:rPr>
        <w:t>3</w:t>
      </w:r>
      <w:r>
        <w:rPr>
          <w:spacing w:val="-38"/>
        </w:rPr>
        <w:t xml:space="preserve"> </w:t>
      </w:r>
      <w:r>
        <w:rPr>
          <w:spacing w:val="-7"/>
        </w:rPr>
        <w:t>月“本级及下级业务响应率</w:t>
      </w:r>
      <w:r>
        <w:rPr>
          <w:spacing w:val="-105"/>
        </w:rPr>
        <w:t xml:space="preserve"> </w:t>
      </w:r>
      <w:r>
        <w:rPr>
          <w:spacing w:val="-7"/>
        </w:rPr>
        <w:t>”数据，按照以下公式计算得出</w:t>
      </w:r>
    </w:p>
    <w:p w14:paraId="3549BB48">
      <w:pPr>
        <w:pStyle w:val="2"/>
        <w:spacing w:before="183" w:line="224" w:lineRule="auto"/>
      </w:pPr>
      <w:r>
        <w:rPr>
          <w:spacing w:val="1"/>
        </w:rPr>
        <w:t>“平均业务及时响应率</w:t>
      </w:r>
      <w:r>
        <w:rPr>
          <w:spacing w:val="-102"/>
        </w:rPr>
        <w:t xml:space="preserve"> </w:t>
      </w:r>
      <w:r>
        <w:rPr>
          <w:spacing w:val="1"/>
        </w:rPr>
        <w:t>”：</w:t>
      </w:r>
    </w:p>
    <w:p w14:paraId="01A7BB3F">
      <w:pPr>
        <w:pStyle w:val="2"/>
        <w:spacing w:before="50" w:line="196" w:lineRule="auto"/>
        <w:ind w:left="3409" w:right="868" w:hanging="2819"/>
        <w:rPr>
          <w:rFonts w:ascii="宋体" w:hAnsi="宋体" w:eastAsia="宋体" w:cs="宋体"/>
          <w:sz w:val="22"/>
          <w:szCs w:val="22"/>
        </w:rPr>
      </w:pPr>
      <w:r>
        <w:rPr>
          <w:spacing w:val="-1"/>
          <w:position w:val="-6"/>
        </w:rPr>
        <w:t>平均业务及时响应率=</w:t>
      </w:r>
      <w:r>
        <w:rPr>
          <w:spacing w:val="-98"/>
          <w:position w:val="-6"/>
        </w:rPr>
        <w:t xml:space="preserve"> </w:t>
      </w:r>
      <w:r>
        <w:rPr>
          <w:rFonts w:ascii="Times New Roman" w:hAnsi="Times New Roman" w:eastAsia="Times New Roman" w:cs="Times New Roman"/>
          <w:spacing w:val="-29"/>
          <w:position w:val="5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5"/>
          <w:sz w:val="22"/>
          <w:szCs w:val="22"/>
          <w:u w:val="single" w:color="auto"/>
        </w:rPr>
        <w:t>202</w:t>
      </w:r>
      <w:r>
        <w:rPr>
          <w:rFonts w:hint="eastAsia" w:ascii="Times New Roman" w:hAnsi="Times New Roman" w:eastAsia="宋体" w:cs="Times New Roman"/>
          <w:spacing w:val="-1"/>
          <w:position w:val="5"/>
          <w:sz w:val="22"/>
          <w:szCs w:val="22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-1"/>
          <w:position w:val="5"/>
          <w:sz w:val="22"/>
          <w:szCs w:val="22"/>
          <w:u w:val="single" w:color="auto"/>
        </w:rPr>
        <w:t>年</w:t>
      </w:r>
      <w:r>
        <w:rPr>
          <w:rFonts w:hint="eastAsia" w:ascii="宋体" w:hAnsi="宋体" w:eastAsia="宋体" w:cs="宋体"/>
          <w:spacing w:val="-1"/>
          <w:position w:val="5"/>
          <w:sz w:val="22"/>
          <w:szCs w:val="22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spacing w:val="-1"/>
          <w:position w:val="5"/>
          <w:sz w:val="22"/>
          <w:szCs w:val="22"/>
          <w:u w:val="single" w:color="auto"/>
        </w:rPr>
        <w:t>月至</w:t>
      </w:r>
      <w:r>
        <w:rPr>
          <w:rFonts w:ascii="Times New Roman" w:hAnsi="Times New Roman" w:eastAsia="Times New Roman" w:cs="Times New Roman"/>
          <w:spacing w:val="-1"/>
          <w:position w:val="5"/>
          <w:sz w:val="22"/>
          <w:szCs w:val="22"/>
          <w:u w:val="single" w:color="auto"/>
        </w:rPr>
        <w:t>202</w:t>
      </w:r>
      <w:r>
        <w:rPr>
          <w:rFonts w:hint="eastAsia" w:ascii="Times New Roman" w:hAnsi="Times New Roman" w:eastAsia="宋体" w:cs="Times New Roman"/>
          <w:spacing w:val="-1"/>
          <w:position w:val="5"/>
          <w:sz w:val="22"/>
          <w:szCs w:val="22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"/>
          <w:position w:val="5"/>
          <w:sz w:val="22"/>
          <w:szCs w:val="22"/>
          <w:u w:val="single" w:color="auto"/>
        </w:rPr>
        <w:t>年</w:t>
      </w:r>
      <w:r>
        <w:rPr>
          <w:rFonts w:ascii="Times New Roman" w:hAnsi="Times New Roman" w:eastAsia="Times New Roman" w:cs="Times New Roman"/>
          <w:spacing w:val="-1"/>
          <w:position w:val="5"/>
          <w:sz w:val="22"/>
          <w:szCs w:val="22"/>
          <w:u w:val="single" w:color="auto"/>
        </w:rPr>
        <w:t>3</w:t>
      </w:r>
      <w:r>
        <w:rPr>
          <w:rFonts w:ascii="宋体" w:hAnsi="宋体" w:eastAsia="宋体" w:cs="宋体"/>
          <w:spacing w:val="-1"/>
          <w:position w:val="5"/>
          <w:sz w:val="22"/>
          <w:szCs w:val="22"/>
          <w:u w:val="single" w:color="auto"/>
        </w:rPr>
        <w:t>月每月及时响应数总和</w:t>
      </w:r>
      <w:r>
        <w:rPr>
          <w:rFonts w:ascii="宋体" w:hAnsi="宋体" w:eastAsia="宋体" w:cs="宋体"/>
          <w:spacing w:val="48"/>
          <w:position w:val="5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58"/>
          <w:position w:val="5"/>
          <w:sz w:val="22"/>
          <w:szCs w:val="22"/>
        </w:rPr>
        <w:t xml:space="preserve"> </w:t>
      </w:r>
      <w:r>
        <w:rPr>
          <w:spacing w:val="-1"/>
          <w:position w:val="-6"/>
        </w:rPr>
        <w:t>。</w:t>
      </w:r>
      <w:r>
        <w:rPr>
          <w:position w:val="-6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202</w:t>
      </w:r>
      <w:r>
        <w:rPr>
          <w:rFonts w:hint="eastAsia" w:ascii="Times New Roman" w:hAnsi="Times New Roman" w:eastAsia="宋体" w:cs="Times New Roman"/>
          <w:spacing w:val="1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1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"/>
          <w:sz w:val="22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1"/>
          <w:sz w:val="22"/>
          <w:szCs w:val="22"/>
        </w:rPr>
        <w:t>月至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202</w:t>
      </w:r>
      <w:r>
        <w:rPr>
          <w:rFonts w:hint="eastAsia" w:ascii="Times New Roman" w:hAnsi="Times New Roman" w:eastAsia="宋体" w:cs="Times New Roman"/>
          <w:spacing w:val="1"/>
          <w:sz w:val="22"/>
          <w:szCs w:val="22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22"/>
          <w:szCs w:val="22"/>
        </w:rPr>
        <w:t>年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3</w:t>
      </w:r>
      <w:r>
        <w:rPr>
          <w:rFonts w:ascii="宋体" w:hAnsi="宋体" w:eastAsia="宋体" w:cs="宋体"/>
          <w:spacing w:val="1"/>
          <w:sz w:val="22"/>
          <w:szCs w:val="22"/>
        </w:rPr>
        <w:t>月每月应响应数总和</w:t>
      </w:r>
    </w:p>
    <w:p w14:paraId="6D17370A">
      <w:pPr>
        <w:pStyle w:val="2"/>
        <w:spacing w:before="173" w:line="225" w:lineRule="auto"/>
        <w:ind w:left="598"/>
      </w:pPr>
      <w:r>
        <w:rPr>
          <w:spacing w:val="-9"/>
        </w:rPr>
        <w:t>注意：</w:t>
      </w:r>
    </w:p>
    <w:p w14:paraId="5415DE01">
      <w:pPr>
        <w:pStyle w:val="2"/>
        <w:spacing w:before="179" w:line="343" w:lineRule="auto"/>
        <w:ind w:left="23" w:right="115" w:firstLine="606"/>
      </w:pPr>
      <w:r>
        <w:rPr>
          <w:spacing w:val="-2"/>
        </w:rPr>
        <w:t>申报人（单位）所在团组织查询的每个月数据中，如“需响应申请</w:t>
      </w:r>
      <w:r>
        <w:t xml:space="preserve"> </w:t>
      </w:r>
      <w:r>
        <w:rPr>
          <w:spacing w:val="-5"/>
        </w:rPr>
        <w:t>总数</w:t>
      </w:r>
      <w:r>
        <w:rPr>
          <w:spacing w:val="-103"/>
        </w:rPr>
        <w:t xml:space="preserve"> </w:t>
      </w:r>
      <w:r>
        <w:rPr>
          <w:spacing w:val="-5"/>
        </w:rPr>
        <w:t>”为零，则该月的“及时响应率</w:t>
      </w:r>
      <w:r>
        <w:rPr>
          <w:spacing w:val="-105"/>
        </w:rPr>
        <w:t xml:space="preserve"> </w:t>
      </w:r>
      <w:r>
        <w:rPr>
          <w:spacing w:val="-5"/>
        </w:rPr>
        <w:t>”不纳入计算范围。</w:t>
      </w:r>
      <w:r>
        <w:rPr>
          <w:spacing w:val="-6"/>
        </w:rPr>
        <w:t>如：XX 团总支</w:t>
      </w:r>
      <w:r>
        <w:t xml:space="preserve"> </w:t>
      </w: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</w:t>
      </w:r>
      <w:r>
        <w:rPr>
          <w:spacing w:val="-40"/>
        </w:rPr>
        <w:t xml:space="preserve"> </w:t>
      </w:r>
      <w:r>
        <w:rPr>
          <w:spacing w:val="-3"/>
        </w:rPr>
        <w:t>1</w:t>
      </w:r>
      <w:r>
        <w:rPr>
          <w:spacing w:val="-40"/>
        </w:rPr>
        <w:t xml:space="preserve"> </w:t>
      </w:r>
      <w:r>
        <w:rPr>
          <w:spacing w:val="-3"/>
        </w:rPr>
        <w:t>月的需响应申请总数为</w:t>
      </w:r>
      <w:r>
        <w:rPr>
          <w:spacing w:val="-59"/>
        </w:rPr>
        <w:t xml:space="preserve"> </w:t>
      </w:r>
      <w:r>
        <w:rPr>
          <w:spacing w:val="-3"/>
        </w:rPr>
        <w:t>0，则按照公</w:t>
      </w:r>
      <w:r>
        <w:rPr>
          <w:spacing w:val="-4"/>
        </w:rPr>
        <w:t>式直接计算其他月份的及</w:t>
      </w:r>
    </w:p>
    <w:p w14:paraId="78C6D6E2">
      <w:pPr>
        <w:pStyle w:val="2"/>
        <w:spacing w:before="1" w:line="222" w:lineRule="auto"/>
        <w:ind w:left="48"/>
      </w:pPr>
      <w:r>
        <w:rPr>
          <w:spacing w:val="-4"/>
        </w:rPr>
        <w:t>时响应率平均值即可。</w:t>
      </w:r>
    </w:p>
    <w:p w14:paraId="1C945676">
      <w:pPr>
        <w:spacing w:line="303" w:lineRule="auto"/>
        <w:rPr>
          <w:rFonts w:ascii="Arial"/>
          <w:sz w:val="21"/>
        </w:rPr>
      </w:pPr>
    </w:p>
    <w:p w14:paraId="3D08C7A3">
      <w:pPr>
        <w:spacing w:line="303" w:lineRule="auto"/>
        <w:rPr>
          <w:rFonts w:ascii="Arial"/>
          <w:sz w:val="21"/>
        </w:rPr>
      </w:pPr>
    </w:p>
    <w:p w14:paraId="1036498B">
      <w:pPr>
        <w:pStyle w:val="2"/>
        <w:spacing w:before="91" w:line="223" w:lineRule="auto"/>
        <w:ind w:left="585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2.团员连续</w:t>
      </w:r>
      <w:r>
        <w:rPr>
          <w:spacing w:val="-48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spacing w:val="-52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个月未交团费比例查询办法</w:t>
      </w:r>
    </w:p>
    <w:p w14:paraId="5F038F2B">
      <w:pPr>
        <w:pStyle w:val="2"/>
        <w:spacing w:before="183" w:line="521" w:lineRule="exact"/>
        <w:ind w:left="630"/>
      </w:pPr>
      <w:r>
        <w:rPr>
          <w:spacing w:val="-3"/>
          <w:position w:val="18"/>
        </w:rPr>
        <w:t>申报人（单位）需登录广东“智慧团建</w:t>
      </w:r>
      <w:r>
        <w:rPr>
          <w:spacing w:val="-103"/>
          <w:position w:val="18"/>
        </w:rPr>
        <w:t xml:space="preserve"> </w:t>
      </w:r>
      <w:r>
        <w:rPr>
          <w:spacing w:val="-3"/>
          <w:position w:val="18"/>
        </w:rPr>
        <w:t>”系统</w:t>
      </w:r>
      <w:r>
        <w:rPr>
          <w:spacing w:val="-4"/>
          <w:position w:val="18"/>
        </w:rPr>
        <w:t>点击左侧菜单栏“</w:t>
      </w:r>
      <w:r>
        <w:rPr>
          <w:spacing w:val="-94"/>
          <w:position w:val="18"/>
        </w:rPr>
        <w:t xml:space="preserve"> </w:t>
      </w:r>
      <w:r>
        <w:rPr>
          <w:spacing w:val="-4"/>
          <w:position w:val="18"/>
        </w:rPr>
        <w:t>团</w:t>
      </w:r>
    </w:p>
    <w:p w14:paraId="7E6C38F5">
      <w:pPr>
        <w:pStyle w:val="2"/>
        <w:spacing w:before="1" w:line="222" w:lineRule="auto"/>
        <w:ind w:left="37"/>
      </w:pPr>
      <w:r>
        <w:rPr>
          <w:spacing w:val="-4"/>
        </w:rPr>
        <w:t>费查询</w:t>
      </w:r>
      <w:r>
        <w:rPr>
          <w:spacing w:val="-103"/>
        </w:rPr>
        <w:t xml:space="preserve"> </w:t>
      </w:r>
      <w:r>
        <w:rPr>
          <w:spacing w:val="-4"/>
        </w:rPr>
        <w:t>”即可查询“连续</w:t>
      </w:r>
      <w:r>
        <w:rPr>
          <w:spacing w:val="-55"/>
        </w:rPr>
        <w:t xml:space="preserve"> </w:t>
      </w:r>
      <w:r>
        <w:rPr>
          <w:spacing w:val="-4"/>
        </w:rPr>
        <w:t>3</w:t>
      </w:r>
      <w:r>
        <w:rPr>
          <w:spacing w:val="-52"/>
        </w:rPr>
        <w:t xml:space="preserve"> </w:t>
      </w:r>
      <w:r>
        <w:rPr>
          <w:spacing w:val="-4"/>
        </w:rPr>
        <w:t>个月未交团费团</w:t>
      </w:r>
      <w:r>
        <w:rPr>
          <w:spacing w:val="-5"/>
        </w:rPr>
        <w:t>员数</w:t>
      </w:r>
      <w:r>
        <w:rPr>
          <w:spacing w:val="-103"/>
        </w:rPr>
        <w:t xml:space="preserve"> </w:t>
      </w:r>
      <w:r>
        <w:rPr>
          <w:spacing w:val="-5"/>
        </w:rPr>
        <w:t>”。</w:t>
      </w:r>
    </w:p>
    <w:p w14:paraId="0F242EAA">
      <w:pPr>
        <w:spacing w:line="222" w:lineRule="auto"/>
        <w:sectPr>
          <w:footerReference r:id="rId5" w:type="default"/>
          <w:pgSz w:w="11906" w:h="16839"/>
          <w:pgMar w:top="1431" w:right="1470" w:bottom="1111" w:left="1575" w:header="0" w:footer="831" w:gutter="0"/>
          <w:cols w:space="720" w:num="1"/>
        </w:sectPr>
      </w:pPr>
    </w:p>
    <w:p w14:paraId="4310ADFC">
      <w:pPr>
        <w:spacing w:before="152" w:line="2309" w:lineRule="exact"/>
        <w:ind w:firstLine="100"/>
      </w:pPr>
      <w:r>
        <w:rPr>
          <w:position w:val="-46"/>
        </w:rPr>
        <w:drawing>
          <wp:inline distT="0" distB="0" distL="0" distR="0">
            <wp:extent cx="6278880" cy="14655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6E2D5">
      <w:pPr>
        <w:spacing w:line="300" w:lineRule="auto"/>
        <w:rPr>
          <w:rFonts w:ascii="Arial"/>
          <w:sz w:val="21"/>
        </w:rPr>
      </w:pPr>
    </w:p>
    <w:p w14:paraId="45382799">
      <w:pPr>
        <w:spacing w:line="301" w:lineRule="auto"/>
        <w:rPr>
          <w:rFonts w:ascii="Arial"/>
          <w:sz w:val="21"/>
        </w:rPr>
      </w:pPr>
    </w:p>
    <w:p w14:paraId="4113C7C7">
      <w:pPr>
        <w:pStyle w:val="2"/>
        <w:spacing w:before="91" w:line="222" w:lineRule="auto"/>
        <w:ind w:left="821"/>
        <w:outlineLvl w:val="0"/>
      </w:pP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3.团组织“</w:t>
      </w:r>
      <w:r>
        <w:rPr>
          <w:spacing w:val="-94"/>
        </w:rPr>
        <w:t xml:space="preserve"> </w:t>
      </w: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两制</w:t>
      </w:r>
      <w:r>
        <w:rPr>
          <w:spacing w:val="-100"/>
        </w:rPr>
        <w:t xml:space="preserve"> </w:t>
      </w: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”完成情况查询办法</w:t>
      </w:r>
    </w:p>
    <w:p w14:paraId="57F216D4">
      <w:pPr>
        <w:pStyle w:val="2"/>
        <w:spacing w:before="182" w:line="343" w:lineRule="auto"/>
        <w:ind w:left="253" w:right="731" w:firstLine="572"/>
      </w:pPr>
      <w:r>
        <w:t>各级团组织登录广东“智慧团建</w:t>
      </w:r>
      <w:r>
        <w:rPr>
          <w:spacing w:val="-105"/>
        </w:rPr>
        <w:t xml:space="preserve"> </w:t>
      </w:r>
      <w:r>
        <w:t>”系统点击左侧菜单栏“</w:t>
      </w:r>
      <w:r>
        <w:rPr>
          <w:spacing w:val="-1"/>
        </w:rPr>
        <w:t>数据统计”</w:t>
      </w:r>
      <w:r>
        <w:t xml:space="preserve"> </w:t>
      </w:r>
      <w:r>
        <w:rPr>
          <w:spacing w:val="-3"/>
        </w:rPr>
        <w:t>—“</w:t>
      </w:r>
      <w:r>
        <w:rPr>
          <w:spacing w:val="-92"/>
        </w:rPr>
        <w:t xml:space="preserve"> </w:t>
      </w:r>
      <w:r>
        <w:rPr>
          <w:spacing w:val="-3"/>
        </w:rPr>
        <w:t>团员教育评议及年度注册数据统计</w:t>
      </w:r>
      <w:r>
        <w:rPr>
          <w:spacing w:val="-102"/>
        </w:rPr>
        <w:t xml:space="preserve"> </w:t>
      </w:r>
      <w:r>
        <w:rPr>
          <w:spacing w:val="-3"/>
        </w:rPr>
        <w:t>”即可查询团员教育评议结</w:t>
      </w:r>
      <w:r>
        <w:rPr>
          <w:spacing w:val="-4"/>
        </w:rPr>
        <w:t>果及</w:t>
      </w:r>
    </w:p>
    <w:p w14:paraId="28343E1D">
      <w:pPr>
        <w:pStyle w:val="2"/>
        <w:spacing w:line="221" w:lineRule="auto"/>
        <w:ind w:left="268"/>
      </w:pPr>
      <w:r>
        <w:rPr>
          <w:spacing w:val="-3"/>
        </w:rPr>
        <w:t>年度团籍注册情况。</w:t>
      </w:r>
    </w:p>
    <w:p w14:paraId="1F5007B3">
      <w:pPr>
        <w:spacing w:before="127" w:line="3879" w:lineRule="exact"/>
      </w:pPr>
      <w:r>
        <w:rPr>
          <w:position w:val="-77"/>
        </w:rPr>
        <w:drawing>
          <wp:inline distT="0" distB="0" distL="0" distR="0">
            <wp:extent cx="6028690" cy="24625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246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88D6E">
      <w:pPr>
        <w:spacing w:line="246" w:lineRule="auto"/>
        <w:rPr>
          <w:rFonts w:ascii="Arial"/>
          <w:sz w:val="21"/>
        </w:rPr>
      </w:pPr>
    </w:p>
    <w:p w14:paraId="6B79D958">
      <w:pPr>
        <w:pStyle w:val="2"/>
        <w:spacing w:before="91" w:line="343" w:lineRule="auto"/>
        <w:ind w:left="274" w:right="731" w:firstLine="580"/>
      </w:pPr>
      <w:r>
        <w:t>团员教育评议及年度注册结果，各级团组织可登录广东“智慧团建”</w:t>
      </w:r>
      <w:r>
        <w:rPr>
          <w:spacing w:val="2"/>
        </w:rPr>
        <w:t xml:space="preserve"> </w:t>
      </w:r>
      <w:r>
        <w:rPr>
          <w:spacing w:val="-3"/>
        </w:rPr>
        <w:t>系统点击“组织管理</w:t>
      </w:r>
      <w:r>
        <w:rPr>
          <w:spacing w:val="-105"/>
        </w:rPr>
        <w:t xml:space="preserve"> </w:t>
      </w:r>
      <w:r>
        <w:rPr>
          <w:spacing w:val="-3"/>
        </w:rPr>
        <w:t>”—“年度评议</w:t>
      </w:r>
      <w:r>
        <w:rPr>
          <w:spacing w:val="-103"/>
        </w:rPr>
        <w:t xml:space="preserve"> </w:t>
      </w:r>
      <w:r>
        <w:rPr>
          <w:spacing w:val="-3"/>
        </w:rPr>
        <w:t>”即可查询团员教</w:t>
      </w:r>
      <w:r>
        <w:rPr>
          <w:spacing w:val="-4"/>
        </w:rPr>
        <w:t>育评议结果及年</w:t>
      </w:r>
    </w:p>
    <w:p w14:paraId="3B9F8063">
      <w:pPr>
        <w:pStyle w:val="2"/>
        <w:spacing w:before="1" w:line="221" w:lineRule="auto"/>
        <w:ind w:left="263"/>
      </w:pPr>
      <w:r>
        <w:rPr>
          <w:spacing w:val="-3"/>
        </w:rPr>
        <w:t>度团籍注册结果。</w:t>
      </w:r>
    </w:p>
    <w:p w14:paraId="5B072895">
      <w:pPr>
        <w:spacing w:line="424" w:lineRule="auto"/>
        <w:rPr>
          <w:rFonts w:ascii="Arial"/>
          <w:sz w:val="21"/>
        </w:rPr>
      </w:pPr>
    </w:p>
    <w:p w14:paraId="704EE46F">
      <w:pPr>
        <w:spacing w:before="1" w:line="3902" w:lineRule="exact"/>
        <w:ind w:firstLine="50"/>
      </w:pPr>
      <w:r>
        <w:rPr>
          <w:position w:val="-78"/>
        </w:rPr>
        <w:drawing>
          <wp:inline distT="0" distB="0" distL="0" distR="0">
            <wp:extent cx="6034405" cy="24777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5039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D941">
      <w:pPr>
        <w:spacing w:line="3902" w:lineRule="exact"/>
        <w:sectPr>
          <w:footerReference r:id="rId6" w:type="default"/>
          <w:pgSz w:w="11906" w:h="16839"/>
          <w:pgMar w:top="1431" w:right="575" w:bottom="292" w:left="1341" w:header="0" w:footer="0" w:gutter="0"/>
          <w:cols w:space="720" w:num="1"/>
        </w:sectPr>
      </w:pPr>
    </w:p>
    <w:p w14:paraId="0AA6C2CB">
      <w:pPr>
        <w:spacing w:line="304" w:lineRule="auto"/>
        <w:rPr>
          <w:rFonts w:ascii="Arial"/>
          <w:sz w:val="21"/>
        </w:rPr>
      </w:pPr>
    </w:p>
    <w:p w14:paraId="0B3BA7AA">
      <w:pPr>
        <w:spacing w:line="305" w:lineRule="auto"/>
        <w:rPr>
          <w:rFonts w:ascii="Arial"/>
          <w:sz w:val="21"/>
        </w:rPr>
      </w:pPr>
    </w:p>
    <w:p w14:paraId="4DECA729">
      <w:pPr>
        <w:pStyle w:val="2"/>
        <w:spacing w:before="91" w:line="223" w:lineRule="auto"/>
        <w:ind w:left="550"/>
        <w:outlineLvl w:val="0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4.团（总）支部“对标定级</w:t>
      </w:r>
      <w:r>
        <w:rPr>
          <w:spacing w:val="-84"/>
        </w:rPr>
        <w:t xml:space="preserve"> </w:t>
      </w: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”完成情况查询办法</w:t>
      </w:r>
    </w:p>
    <w:p w14:paraId="54FA63C2">
      <w:pPr>
        <w:pStyle w:val="2"/>
        <w:spacing w:before="181" w:line="343" w:lineRule="auto"/>
        <w:ind w:left="4" w:right="122" w:firstLine="557"/>
        <w:jc w:val="both"/>
      </w:pPr>
      <w:r>
        <w:rPr>
          <w:spacing w:val="-3"/>
        </w:rPr>
        <w:t>各级团组织登录广东“智慧</w:t>
      </w:r>
      <w:bookmarkStart w:id="0" w:name="_GoBack"/>
      <w:bookmarkEnd w:id="0"/>
      <w:r>
        <w:rPr>
          <w:spacing w:val="-3"/>
        </w:rPr>
        <w:t>团建</w:t>
      </w:r>
      <w:r>
        <w:rPr>
          <w:spacing w:val="-103"/>
        </w:rPr>
        <w:t xml:space="preserve"> </w:t>
      </w:r>
      <w:r>
        <w:rPr>
          <w:spacing w:val="-3"/>
        </w:rPr>
        <w:t>”系统点击“组织</w:t>
      </w:r>
      <w:r>
        <w:rPr>
          <w:spacing w:val="-4"/>
        </w:rPr>
        <w:t>管理</w:t>
      </w:r>
      <w:r>
        <w:rPr>
          <w:spacing w:val="-102"/>
        </w:rPr>
        <w:t xml:space="preserve"> </w:t>
      </w:r>
      <w:r>
        <w:rPr>
          <w:spacing w:val="-4"/>
        </w:rPr>
        <w:t>”—“直接</w:t>
      </w:r>
      <w:r>
        <w:t xml:space="preserve"> </w:t>
      </w:r>
      <w:r>
        <w:rPr>
          <w:spacing w:val="-4"/>
        </w:rPr>
        <w:t>下级</w:t>
      </w:r>
      <w:r>
        <w:rPr>
          <w:spacing w:val="-103"/>
        </w:rPr>
        <w:t xml:space="preserve"> </w:t>
      </w:r>
      <w:r>
        <w:rPr>
          <w:spacing w:val="-4"/>
        </w:rPr>
        <w:t>”—“下级数据统计</w:t>
      </w:r>
      <w:r>
        <w:rPr>
          <w:spacing w:val="-103"/>
        </w:rPr>
        <w:t xml:space="preserve"> </w:t>
      </w:r>
      <w:r>
        <w:rPr>
          <w:spacing w:val="-4"/>
        </w:rPr>
        <w:t>”即可查询团（总）支部“</w:t>
      </w:r>
      <w:r>
        <w:rPr>
          <w:spacing w:val="-5"/>
        </w:rPr>
        <w:t>对标定级</w:t>
      </w:r>
      <w:r>
        <w:rPr>
          <w:spacing w:val="-105"/>
        </w:rPr>
        <w:t xml:space="preserve"> </w:t>
      </w:r>
      <w:r>
        <w:rPr>
          <w:spacing w:val="-5"/>
        </w:rPr>
        <w:t>”完成情</w:t>
      </w:r>
    </w:p>
    <w:p w14:paraId="0BD62352">
      <w:pPr>
        <w:pStyle w:val="2"/>
        <w:spacing w:line="225" w:lineRule="auto"/>
      </w:pPr>
      <w:r>
        <w:rPr>
          <w:spacing w:val="-10"/>
        </w:rPr>
        <w:t>况。</w:t>
      </w:r>
    </w:p>
    <w:p w14:paraId="0CE46F7A">
      <w:pPr>
        <w:spacing w:before="38" w:line="5356" w:lineRule="exact"/>
        <w:ind w:firstLine="59"/>
      </w:pPr>
      <w:r>
        <w:rPr>
          <w:position w:val="-107"/>
        </w:rPr>
        <w:drawing>
          <wp:inline distT="0" distB="0" distL="0" distR="0">
            <wp:extent cx="5541010" cy="34010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1263" cy="34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9A39">
      <w:pPr>
        <w:spacing w:before="163" w:line="2988" w:lineRule="exact"/>
        <w:ind w:firstLine="54"/>
        <w:sectPr>
          <w:footerReference r:id="rId7" w:type="default"/>
          <w:pgSz w:w="11906" w:h="16839"/>
          <w:pgMar w:top="1431" w:right="1514" w:bottom="1109" w:left="1606" w:header="0" w:footer="831" w:gutter="0"/>
          <w:cols w:space="720" w:num="1"/>
        </w:sectPr>
      </w:pPr>
    </w:p>
    <w:p w14:paraId="2A0D7022">
      <w:pPr>
        <w:spacing w:before="74" w:line="7414" w:lineRule="exact"/>
      </w:pPr>
    </w:p>
    <w:sectPr>
      <w:footerReference r:id="rId8" w:type="default"/>
      <w:pgSz w:w="11906" w:h="16839"/>
      <w:pgMar w:top="1431" w:right="1585" w:bottom="1108" w:left="1608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B72B">
    <w:pPr>
      <w:spacing w:line="177" w:lineRule="auto"/>
      <w:ind w:left="80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A979"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78.95pt;margin-top:785.4pt;height:15.95pt;width:36.7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09DF4B1">
                <w:pPr>
                  <w:spacing w:before="20" w:line="183" w:lineRule="auto"/>
                  <w:ind w:left="2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8"/>
                    <w:sz w:val="28"/>
                    <w:szCs w:val="28"/>
                  </w:rPr>
                  <w:t>-</w:t>
                </w:r>
                <w:r>
                  <w:rPr>
                    <w:rFonts w:ascii="宋体" w:hAnsi="宋体" w:eastAsia="宋体" w:cs="宋体"/>
                    <w:spacing w:val="15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8"/>
                    <w:sz w:val="28"/>
                    <w:szCs w:val="28"/>
                  </w:rPr>
                  <w:t>2</w:t>
                </w:r>
                <w:r>
                  <w:rPr>
                    <w:rFonts w:ascii="宋体" w:hAnsi="宋体" w:eastAsia="宋体" w:cs="宋体"/>
                    <w:spacing w:val="9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8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6059">
    <w:pPr>
      <w:spacing w:before="1" w:line="176" w:lineRule="auto"/>
      <w:ind w:left="80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F199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4ZGM3ZmZlYWQxMjVjNmZlZGU4OTlkZGQzNWViZjIifQ=="/>
  </w:docVars>
  <w:rsids>
    <w:rsidRoot w:val="00000000"/>
    <w:rsid w:val="37640842"/>
    <w:rsid w:val="385B55F2"/>
    <w:rsid w:val="3F036114"/>
    <w:rsid w:val="63664265"/>
    <w:rsid w:val="655D7A31"/>
    <w:rsid w:val="72D0775F"/>
    <w:rsid w:val="7D515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599</Words>
  <Characters>623</Characters>
  <TotalTime>10</TotalTime>
  <ScaleCrop>false</ScaleCrop>
  <LinksUpToDate>false</LinksUpToDate>
  <CharactersWithSpaces>669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2023-03-27T17:34:00Z</dcterms:created>
  <dc:creator>Administrator</dc:creator>
  <cp:lastModifiedBy>12465</cp:lastModifiedBy>
  <dcterms:modified xsi:type="dcterms:W3CDTF">2026-03-25T03:04:04Z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2024-03-20T18:31:34Z</vt:filetime>
  </property>
  <property fmtid="{D5CDD505-2E9C-101B-9397-08002B2CF9AE}" pid="4" name="KSOProductBuildVer">
    <vt:lpwstr>2052-12.1.0.20305</vt:lpwstr>
  </property>
  <property fmtid="{D5CDD505-2E9C-101B-9397-08002B2CF9AE}" pid="5" name="ICV">
    <vt:lpwstr>BC0A5B9670D849A5A71A29F093FFB2EF_12</vt:lpwstr>
  </property>
  <property fmtid="{D5CDD505-2E9C-101B-9397-08002B2CF9AE}" pid="6" name="KSOTemplateDocerSaveRecord">
    <vt:lpwstr>eyJoZGlkIjoiOTE4YzMzNDI5NjBjMzUxMjA3MWQxYzU4ZDAwZDZjNzQiLCJ1c2VySWQiOiIxNjgzOTIwMzM5In0=</vt:lpwstr>
  </property>
</Properties>
</file>