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方正公文小标宋" w:hAnsi="方正公文小标宋" w:eastAsia="方正公文小标宋" w:cs="方正公文小标宋"/>
          <w:sz w:val="36"/>
          <w:szCs w:val="28"/>
        </w:rPr>
      </w:pPr>
      <w:r>
        <w:rPr>
          <w:rFonts w:hint="eastAsia" w:ascii="方正公文小标宋" w:hAnsi="方正公文小标宋" w:eastAsia="方正公文小标宋" w:cs="方正公文小标宋"/>
          <w:sz w:val="36"/>
          <w:szCs w:val="28"/>
        </w:rPr>
        <w:t>生命科学学院非定向博士研究生新生学业奖学金评分细则</w:t>
      </w:r>
    </w:p>
    <w:p>
      <w:pPr>
        <w:pStyle w:val="3"/>
        <w:spacing w:before="156" w:beforeLines="50" w:after="156" w:afterLines="50" w:line="240" w:lineRule="auto"/>
        <w:ind w:firstLine="0"/>
        <w:jc w:val="center"/>
        <w:rPr>
          <w:rFonts w:hint="eastAsia" w:ascii="仿宋" w:hAnsi="仿宋" w:eastAsia="仿宋" w:cs="仿宋"/>
          <w:sz w:val="28"/>
          <w:szCs w:val="28"/>
          <w:u w:val="none"/>
        </w:rPr>
      </w:pPr>
      <w:r>
        <w:rPr>
          <w:rFonts w:hint="eastAsia" w:ascii="仿宋" w:hAnsi="仿宋" w:eastAsia="仿宋" w:cs="仿宋"/>
          <w:sz w:val="28"/>
          <w:szCs w:val="28"/>
          <w:u w:val="none"/>
        </w:rPr>
        <w:t>（试行）</w:t>
      </w:r>
    </w:p>
    <w:p>
      <w:pPr>
        <w:widowControl/>
        <w:tabs>
          <w:tab w:val="left" w:pos="351"/>
        </w:tabs>
        <w:wordWrap w:val="0"/>
        <w:spacing w:line="360" w:lineRule="auto"/>
        <w:ind w:firstLine="560" w:firstLineChars="200"/>
        <w:jc w:val="both"/>
        <w:rPr>
          <w:rFonts w:hint="eastAsia" w:ascii="仿宋" w:hAnsi="仿宋" w:eastAsia="仿宋" w:cs="仿宋"/>
          <w:b/>
          <w:sz w:val="28"/>
          <w:szCs w:val="28"/>
        </w:rPr>
      </w:pPr>
      <w:r>
        <w:rPr>
          <w:rFonts w:hint="eastAsia" w:ascii="仿宋" w:hAnsi="仿宋" w:eastAsia="仿宋" w:cs="仿宋"/>
          <w:sz w:val="28"/>
          <w:szCs w:val="28"/>
        </w:rPr>
        <w:t>为激励学生勤奋学习，在德智体美劳等方面全面发展，根据《财政部 教育部 人力资源社会保障部退役军人部中央军委国防动员部&lt;关于印发学生资助资金管理办法&gt;</w:t>
      </w:r>
      <w:r>
        <w:rPr>
          <w:rFonts w:hint="eastAsia" w:ascii="仿宋" w:hAnsi="仿宋" w:eastAsia="仿宋" w:cs="仿宋"/>
          <w:sz w:val="28"/>
          <w:szCs w:val="28"/>
          <w:lang w:eastAsia="zh-CN"/>
        </w:rPr>
        <w:t>的</w:t>
      </w:r>
      <w:r>
        <w:rPr>
          <w:rFonts w:hint="eastAsia" w:ascii="仿宋" w:hAnsi="仿宋" w:eastAsia="仿宋" w:cs="仿宋"/>
          <w:sz w:val="28"/>
          <w:szCs w:val="28"/>
        </w:rPr>
        <w:t>通知》（财科教〔2019〕19号）、《广东省教育厅广东省财政厅关于进一步健全学生资助政策体系的意见》（粤教助〔2020〕6号）、《广东省财</w:t>
      </w:r>
      <w:bookmarkStart w:id="0" w:name="_GoBack"/>
      <w:bookmarkEnd w:id="0"/>
      <w:r>
        <w:rPr>
          <w:rFonts w:hint="eastAsia" w:ascii="仿宋" w:hAnsi="仿宋" w:eastAsia="仿宋" w:cs="仿宋"/>
          <w:sz w:val="28"/>
          <w:szCs w:val="28"/>
        </w:rPr>
        <w:t>政厅</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广东省教育厅</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广东省人力资源和社会保障厅 广东省退役 军人事务厅 中国人民解放军广东省军区动员局关于印发&lt;广东省学生资助资金管理实施办法&gt;的通知》（粤财规〔2021〕1号）、《普通高等学校学生管理规定》《华南农业大学研究生奖助体系改革方案》（华南农办〔2014〕139号）以及《华南农业大学研究生国家奖助学金实施办法》（华农党发〔2021〕35号）有关规定，结合我院实际，制定本细则。</w:t>
      </w:r>
    </w:p>
    <w:p>
      <w:pPr>
        <w:widowControl/>
        <w:spacing w:line="500" w:lineRule="exact"/>
        <w:ind w:firstLine="557" w:firstLineChars="198"/>
        <w:jc w:val="left"/>
        <w:rPr>
          <w:rFonts w:hint="eastAsia" w:ascii="仿宋" w:hAnsi="仿宋" w:eastAsia="仿宋" w:cs="仿宋"/>
          <w:b/>
          <w:sz w:val="28"/>
          <w:szCs w:val="28"/>
        </w:rPr>
      </w:pPr>
      <w:r>
        <w:rPr>
          <w:rFonts w:hint="eastAsia" w:ascii="仿宋" w:hAnsi="仿宋" w:eastAsia="仿宋" w:cs="仿宋"/>
          <w:b/>
          <w:sz w:val="28"/>
          <w:szCs w:val="28"/>
        </w:rPr>
        <w:t>一、科学研究</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1.学术论文</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（1）SCI收录的文章，根据JCR大类分区计算分值：一区，50分/篇；二区，40分/篇；三区，30分/篇；四区，20分/篇。</w:t>
      </w:r>
    </w:p>
    <w:p>
      <w:pPr>
        <w:widowControl/>
        <w:shd w:val="clear" w:color="auto" w:fill="FFFFFF"/>
        <w:spacing w:line="46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（2）EI收录全文及国外非SCI刊物，15分/篇（综述及会议论文均不能参评）。</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（3）中文期刊以北京大学出版社的《中文核心期刊要目总览》（最新版）为准，排名在前25%的学术刊物，10分/篇；其他核心期刊，8分/篇；一般刊物，5分/篇。</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2.专利和其他学术成果</w:t>
      </w:r>
    </w:p>
    <w:p>
      <w:pPr>
        <w:spacing w:line="360" w:lineRule="auto"/>
        <w:ind w:firstLine="630" w:firstLineChars="225"/>
        <w:rPr>
          <w:rFonts w:hint="eastAsia" w:ascii="仿宋" w:hAnsi="仿宋" w:eastAsia="仿宋" w:cs="仿宋"/>
          <w:sz w:val="28"/>
          <w:szCs w:val="28"/>
        </w:rPr>
      </w:pPr>
      <w:r>
        <w:rPr>
          <w:rFonts w:hint="eastAsia" w:ascii="仿宋" w:hAnsi="仿宋" w:eastAsia="仿宋" w:cs="仿宋"/>
          <w:sz w:val="28"/>
          <w:szCs w:val="28"/>
        </w:rPr>
        <w:t>专利已授权，10分/项；发明专利已公开，8分/项；同时获省部级以上奖励成果，加3分。</w:t>
      </w:r>
    </w:p>
    <w:p>
      <w:pPr>
        <w:spacing w:line="360" w:lineRule="auto"/>
        <w:ind w:firstLine="630" w:firstLineChars="225"/>
        <w:rPr>
          <w:rFonts w:hint="eastAsia" w:ascii="仿宋" w:hAnsi="仿宋" w:eastAsia="仿宋" w:cs="仿宋"/>
          <w:sz w:val="28"/>
          <w:szCs w:val="28"/>
        </w:rPr>
      </w:pPr>
      <w:r>
        <w:rPr>
          <w:rFonts w:hint="eastAsia" w:ascii="仿宋" w:hAnsi="仿宋" w:eastAsia="仿宋" w:cs="仿宋"/>
          <w:sz w:val="28"/>
          <w:szCs w:val="28"/>
        </w:rPr>
        <w:t>获得国家级新药、新产品、新材料、新品种等审定或保护权，国家行业标准等成果，加5分。</w:t>
      </w:r>
    </w:p>
    <w:p>
      <w:pPr>
        <w:spacing w:line="360" w:lineRule="auto"/>
        <w:ind w:firstLine="630" w:firstLineChars="225"/>
        <w:rPr>
          <w:rFonts w:hint="eastAsia" w:ascii="仿宋" w:hAnsi="仿宋" w:eastAsia="仿宋" w:cs="仿宋"/>
          <w:sz w:val="28"/>
          <w:szCs w:val="28"/>
        </w:rPr>
      </w:pPr>
      <w:r>
        <w:rPr>
          <w:rFonts w:hint="eastAsia" w:ascii="仿宋" w:hAnsi="仿宋" w:eastAsia="仿宋" w:cs="仿宋"/>
          <w:sz w:val="28"/>
          <w:szCs w:val="28"/>
        </w:rPr>
        <w:t>编写出版著作，非编委成员参编章节，加5分，编委成员，加8分，主编、副主编或专著第二作者，加10分，专著第一作者，加15分，独立专著，加20分。（著作需正式出版与专业有关，且文字编辑不计加分）</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3.学科竞赛</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英语竞赛除外，且竞赛须与</w:t>
      </w:r>
      <w:r>
        <w:rPr>
          <w:rFonts w:hint="eastAsia" w:ascii="仿宋" w:hAnsi="仿宋" w:eastAsia="仿宋" w:cs="仿宋"/>
          <w:b/>
          <w:sz w:val="28"/>
          <w:szCs w:val="28"/>
        </w:rPr>
        <w:t>硕士专业相关</w:t>
      </w:r>
      <w:r>
        <w:rPr>
          <w:rFonts w:hint="eastAsia" w:ascii="仿宋" w:hAnsi="仿宋" w:eastAsia="仿宋" w:cs="仿宋"/>
          <w:sz w:val="28"/>
          <w:szCs w:val="28"/>
        </w:rPr>
        <w:t>；团体赛不分排名顺序；第一署名单位须为硕士所在院校或华南农业大学。</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（1）国家级竞赛：一等奖（12分），二等奖（10分），三等奖（8分）。</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（2）省部级或市级竞赛：一等奖（8分），二等奖（5分），三等奖（3分）。</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pPr>
        <w:spacing w:line="50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A</w:t>
      </w:r>
      <w:r>
        <w:rPr>
          <w:rFonts w:hint="eastAsia" w:ascii="仿宋" w:hAnsi="仿宋" w:eastAsia="仿宋" w:cs="仿宋"/>
          <w:sz w:val="28"/>
          <w:szCs w:val="28"/>
        </w:rPr>
        <w:t>学术论文、专利和其他学术成果，按照作者顺序不同分为</w:t>
      </w:r>
      <w:r>
        <w:rPr>
          <w:rFonts w:hint="eastAsia" w:ascii="仿宋" w:hAnsi="仿宋" w:eastAsia="仿宋" w:cs="仿宋"/>
          <w:b/>
          <w:sz w:val="28"/>
          <w:szCs w:val="28"/>
        </w:rPr>
        <w:t>a、b</w:t>
      </w:r>
      <w:r>
        <w:rPr>
          <w:rFonts w:hint="eastAsia" w:ascii="仿宋" w:hAnsi="仿宋" w:eastAsia="仿宋" w:cs="仿宋"/>
          <w:sz w:val="28"/>
          <w:szCs w:val="28"/>
        </w:rPr>
        <w:t>两类。a类为发表论文或专利要求学生为第一作者或老师为第一作者、学生为第二作者或学生为共同第一作者。其余为b类，</w:t>
      </w:r>
      <w:r>
        <w:rPr>
          <w:rFonts w:hint="eastAsia" w:ascii="仿宋" w:hAnsi="仿宋" w:eastAsia="仿宋" w:cs="仿宋"/>
          <w:b/>
          <w:bCs/>
          <w:sz w:val="28"/>
          <w:szCs w:val="28"/>
        </w:rPr>
        <w:t>且按a类的50%计算加分值</w:t>
      </w:r>
      <w:r>
        <w:rPr>
          <w:rFonts w:hint="eastAsia" w:ascii="仿宋" w:hAnsi="仿宋" w:eastAsia="仿宋" w:cs="仿宋"/>
          <w:sz w:val="28"/>
          <w:szCs w:val="28"/>
        </w:rPr>
        <w:t>。</w:t>
      </w:r>
    </w:p>
    <w:p>
      <w:pPr>
        <w:spacing w:line="500" w:lineRule="exact"/>
        <w:ind w:firstLine="562" w:firstLineChars="200"/>
        <w:rPr>
          <w:rFonts w:hint="eastAsia" w:ascii="仿宋" w:hAnsi="仿宋" w:eastAsia="仿宋" w:cs="仿宋"/>
          <w:sz w:val="28"/>
          <w:szCs w:val="28"/>
        </w:rPr>
      </w:pPr>
      <w:r>
        <w:rPr>
          <w:rFonts w:hint="eastAsia" w:ascii="仿宋" w:hAnsi="仿宋" w:eastAsia="仿宋" w:cs="仿宋"/>
          <w:b/>
          <w:sz w:val="28"/>
          <w:szCs w:val="28"/>
          <w:u w:val="single"/>
        </w:rPr>
        <w:t>但b类的加分必须符合以下作者排名：</w:t>
      </w:r>
      <w:r>
        <w:rPr>
          <w:rFonts w:hint="eastAsia" w:ascii="仿宋" w:hAnsi="仿宋" w:eastAsia="仿宋" w:cs="仿宋"/>
          <w:sz w:val="28"/>
          <w:szCs w:val="28"/>
        </w:rPr>
        <w:t xml:space="preserve"> </w:t>
      </w:r>
    </w:p>
    <w:tbl>
      <w:tblPr>
        <w:tblStyle w:val="6"/>
        <w:tblpPr w:leftFromText="180" w:rightFromText="180" w:vertAnchor="text" w:horzAnchor="margin" w:tblpXSpec="center" w:tblpY="125"/>
        <w:tblW w:w="8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6"/>
        <w:gridCol w:w="1273"/>
        <w:gridCol w:w="1273"/>
        <w:gridCol w:w="1273"/>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3566" w:type="dxa"/>
            <w:vMerge w:val="restart"/>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SCI收录的文章</w:t>
            </w: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一区</w:t>
            </w: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二区</w:t>
            </w: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三区</w:t>
            </w:r>
          </w:p>
        </w:tc>
        <w:tc>
          <w:tcPr>
            <w:tcW w:w="1188"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四区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566" w:type="dxa"/>
            <w:vMerge w:val="continue"/>
            <w:shd w:val="clear" w:color="auto" w:fill="auto"/>
            <w:vAlign w:val="center"/>
          </w:tcPr>
          <w:p>
            <w:pPr>
              <w:jc w:val="center"/>
              <w:rPr>
                <w:rFonts w:hint="eastAsia" w:ascii="仿宋" w:hAnsi="仿宋" w:eastAsia="仿宋" w:cs="仿宋"/>
                <w:sz w:val="28"/>
                <w:szCs w:val="28"/>
              </w:rPr>
            </w:pP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排名前11</w:t>
            </w: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排名前9</w:t>
            </w:r>
          </w:p>
        </w:tc>
        <w:tc>
          <w:tcPr>
            <w:tcW w:w="1273"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排名前7</w:t>
            </w:r>
          </w:p>
        </w:tc>
        <w:tc>
          <w:tcPr>
            <w:tcW w:w="1188" w:type="dxa"/>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566" w:type="dxa"/>
            <w:shd w:val="clear" w:color="auto" w:fill="auto"/>
            <w:vAlign w:val="center"/>
          </w:tcPr>
          <w:p>
            <w:pPr>
              <w:jc w:val="center"/>
              <w:rPr>
                <w:rFonts w:hint="eastAsia" w:ascii="仿宋" w:hAnsi="仿宋" w:eastAsia="仿宋" w:cs="仿宋"/>
                <w:sz w:val="28"/>
                <w:szCs w:val="28"/>
              </w:rPr>
            </w:pPr>
            <w:r>
              <w:rPr>
                <w:rFonts w:hint="eastAsia" w:ascii="仿宋" w:hAnsi="仿宋" w:eastAsia="仿宋" w:cs="仿宋"/>
                <w:kern w:val="0"/>
                <w:sz w:val="28"/>
                <w:szCs w:val="28"/>
              </w:rPr>
              <w:t>EI收录全文及国外非SCI刊物</w:t>
            </w:r>
          </w:p>
        </w:tc>
        <w:tc>
          <w:tcPr>
            <w:tcW w:w="5007" w:type="dxa"/>
            <w:gridSpan w:val="4"/>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566" w:type="dxa"/>
            <w:shd w:val="clear" w:color="auto" w:fill="auto"/>
            <w:vAlign w:val="center"/>
          </w:tcPr>
          <w:p>
            <w:pPr>
              <w:jc w:val="center"/>
              <w:rPr>
                <w:rFonts w:hint="eastAsia" w:ascii="仿宋" w:hAnsi="仿宋" w:eastAsia="仿宋" w:cs="仿宋"/>
                <w:kern w:val="0"/>
                <w:sz w:val="28"/>
                <w:szCs w:val="28"/>
              </w:rPr>
            </w:pPr>
            <w:r>
              <w:rPr>
                <w:rFonts w:hint="eastAsia" w:ascii="仿宋" w:hAnsi="仿宋" w:eastAsia="仿宋" w:cs="仿宋"/>
                <w:sz w:val="28"/>
                <w:szCs w:val="28"/>
              </w:rPr>
              <w:t>排名前25%的中文核心期刊</w:t>
            </w:r>
          </w:p>
        </w:tc>
        <w:tc>
          <w:tcPr>
            <w:tcW w:w="5007" w:type="dxa"/>
            <w:gridSpan w:val="4"/>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566" w:type="dxa"/>
            <w:shd w:val="clear" w:color="auto" w:fill="auto"/>
            <w:vAlign w:val="center"/>
          </w:tcPr>
          <w:p>
            <w:pPr>
              <w:jc w:val="center"/>
              <w:rPr>
                <w:rFonts w:hint="eastAsia" w:ascii="仿宋" w:hAnsi="仿宋" w:eastAsia="仿宋" w:cs="仿宋"/>
                <w:kern w:val="0"/>
                <w:sz w:val="28"/>
                <w:szCs w:val="28"/>
              </w:rPr>
            </w:pPr>
            <w:r>
              <w:rPr>
                <w:rFonts w:hint="eastAsia" w:ascii="仿宋" w:hAnsi="仿宋" w:eastAsia="仿宋" w:cs="仿宋"/>
                <w:sz w:val="28"/>
                <w:szCs w:val="28"/>
              </w:rPr>
              <w:t>其他核心期刊</w:t>
            </w:r>
          </w:p>
        </w:tc>
        <w:tc>
          <w:tcPr>
            <w:tcW w:w="5007" w:type="dxa"/>
            <w:gridSpan w:val="4"/>
            <w:shd w:val="clear" w:color="auto" w:fill="auto"/>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排名前4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3566" w:type="dxa"/>
            <w:shd w:val="clear" w:color="auto" w:fill="auto"/>
            <w:vAlign w:val="center"/>
          </w:tcPr>
          <w:p>
            <w:pPr>
              <w:jc w:val="center"/>
              <w:rPr>
                <w:rFonts w:hint="eastAsia" w:ascii="仿宋" w:hAnsi="仿宋" w:eastAsia="仿宋" w:cs="仿宋"/>
                <w:kern w:val="0"/>
                <w:sz w:val="28"/>
                <w:szCs w:val="28"/>
              </w:rPr>
            </w:pPr>
            <w:r>
              <w:rPr>
                <w:rFonts w:hint="eastAsia" w:ascii="仿宋" w:hAnsi="仿宋" w:eastAsia="仿宋" w:cs="仿宋"/>
                <w:sz w:val="28"/>
                <w:szCs w:val="28"/>
              </w:rPr>
              <w:t>一般刊物</w:t>
            </w:r>
          </w:p>
        </w:tc>
        <w:tc>
          <w:tcPr>
            <w:tcW w:w="5007" w:type="dxa"/>
            <w:gridSpan w:val="4"/>
            <w:shd w:val="clear" w:color="auto" w:fill="auto"/>
            <w:vAlign w:val="center"/>
          </w:tcPr>
          <w:p>
            <w:pPr>
              <w:spacing w:line="500" w:lineRule="exact"/>
              <w:jc w:val="center"/>
              <w:rPr>
                <w:rFonts w:hint="eastAsia" w:ascii="仿宋" w:hAnsi="仿宋" w:eastAsia="仿宋" w:cs="仿宋"/>
                <w:b/>
                <w:sz w:val="28"/>
                <w:szCs w:val="28"/>
              </w:rPr>
            </w:pPr>
            <w:r>
              <w:rPr>
                <w:rFonts w:hint="eastAsia" w:ascii="仿宋" w:hAnsi="仿宋" w:eastAsia="仿宋" w:cs="仿宋"/>
                <w:sz w:val="28"/>
                <w:szCs w:val="28"/>
              </w:rPr>
              <w:t>排名前3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8573" w:type="dxa"/>
            <w:gridSpan w:val="5"/>
            <w:shd w:val="clear" w:color="auto" w:fill="auto"/>
            <w:vAlign w:val="center"/>
          </w:tcPr>
          <w:p>
            <w:pPr>
              <w:spacing w:line="500" w:lineRule="exact"/>
              <w:rPr>
                <w:rFonts w:hint="eastAsia" w:ascii="仿宋" w:hAnsi="仿宋" w:eastAsia="仿宋" w:cs="仿宋"/>
                <w:sz w:val="28"/>
                <w:szCs w:val="28"/>
              </w:rPr>
            </w:pPr>
            <w:r>
              <w:rPr>
                <w:rFonts w:hint="eastAsia" w:ascii="仿宋" w:hAnsi="仿宋" w:eastAsia="仿宋" w:cs="仿宋"/>
                <w:sz w:val="28"/>
                <w:szCs w:val="28"/>
              </w:rPr>
              <w:t>注：排名均指总排名；如SCI收录的文章，一区且影响因子大于10，则排名前13可加分。</w:t>
            </w:r>
          </w:p>
        </w:tc>
      </w:tr>
    </w:tbl>
    <w:p>
      <w:pPr>
        <w:spacing w:before="156" w:beforeLines="50" w:line="50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B</w:t>
      </w:r>
      <w:r>
        <w:rPr>
          <w:rFonts w:hint="eastAsia" w:ascii="仿宋" w:hAnsi="仿宋" w:eastAsia="仿宋" w:cs="仿宋"/>
          <w:sz w:val="28"/>
          <w:szCs w:val="28"/>
        </w:rPr>
        <w:t>学术论文、专利和其他学术成果的第一署名单位需为硕士所在院校或华南农业大学。SCI 和EI收录的论文以在线发表或获得doi号为准；中文期刊发表的论文以见刊为准。</w:t>
      </w:r>
    </w:p>
    <w:p>
      <w:pPr>
        <w:spacing w:line="50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C</w:t>
      </w:r>
      <w:r>
        <w:rPr>
          <w:rFonts w:hint="eastAsia" w:ascii="仿宋" w:hAnsi="仿宋" w:eastAsia="仿宋" w:cs="仿宋"/>
          <w:sz w:val="28"/>
          <w:szCs w:val="28"/>
        </w:rPr>
        <w:t>学术论文、专利和其他学术成果可累计加分；学科竞赛同一项多次获奖，按最高分值计入，不同项可累加分。</w:t>
      </w:r>
    </w:p>
    <w:p>
      <w:pPr>
        <w:widowControl/>
        <w:spacing w:line="500" w:lineRule="exact"/>
        <w:ind w:firstLine="557" w:firstLineChars="198"/>
        <w:jc w:val="left"/>
        <w:rPr>
          <w:rFonts w:hint="eastAsia" w:ascii="仿宋" w:hAnsi="仿宋" w:eastAsia="仿宋" w:cs="仿宋"/>
          <w:b/>
          <w:sz w:val="28"/>
          <w:szCs w:val="28"/>
        </w:rPr>
      </w:pPr>
      <w:r>
        <w:rPr>
          <w:rFonts w:hint="eastAsia" w:ascii="仿宋" w:hAnsi="仿宋" w:eastAsia="仿宋" w:cs="仿宋"/>
          <w:b/>
          <w:sz w:val="28"/>
          <w:szCs w:val="28"/>
        </w:rPr>
        <w:t>二、奖学金</w:t>
      </w:r>
    </w:p>
    <w:p>
      <w:pPr>
        <w:shd w:val="solid" w:color="FFFFFF" w:fill="auto"/>
        <w:autoSpaceDN w:val="0"/>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硕士研究生阶段获国家奖学金（20分）；校级一等奖学金（15分）、校级二等奖学金（10分）、校级三等奖学金（8分）。</w:t>
      </w:r>
    </w:p>
    <w:p>
      <w:pPr>
        <w:shd w:val="solid" w:color="FFFFFF" w:fill="auto"/>
        <w:autoSpaceDN w:val="0"/>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说明：同一项的奖学金如多次获得，按最高分计算（如获校级一等和二等奖学金，则以校级一等计分）。不同项（如国家奖学金和校级奖学金）的奖学金可累计算分，且同一项的奖学金如多次获得，按最高分计算。</w:t>
      </w:r>
    </w:p>
    <w:p>
      <w:pPr>
        <w:shd w:val="solid" w:color="FFFFFF" w:fill="auto"/>
        <w:autoSpaceDN w:val="0"/>
        <w:spacing w:line="440" w:lineRule="exact"/>
        <w:ind w:firstLine="551" w:firstLineChars="196"/>
        <w:rPr>
          <w:rFonts w:hint="eastAsia" w:ascii="仿宋" w:hAnsi="仿宋" w:eastAsia="仿宋" w:cs="仿宋"/>
          <w:sz w:val="28"/>
          <w:szCs w:val="28"/>
        </w:rPr>
      </w:pPr>
      <w:r>
        <w:rPr>
          <w:rFonts w:hint="eastAsia" w:ascii="仿宋" w:hAnsi="仿宋" w:eastAsia="仿宋" w:cs="仿宋"/>
          <w:b/>
          <w:sz w:val="28"/>
          <w:szCs w:val="28"/>
        </w:rPr>
        <w:t>三、优秀硕士学位论文：</w:t>
      </w:r>
      <w:r>
        <w:rPr>
          <w:rFonts w:hint="eastAsia" w:ascii="仿宋" w:hAnsi="仿宋" w:eastAsia="仿宋" w:cs="仿宋"/>
          <w:sz w:val="28"/>
          <w:szCs w:val="28"/>
        </w:rPr>
        <w:t>省级（20分）；校级（15分），按最高分计算。</w:t>
      </w:r>
    </w:p>
    <w:p>
      <w:pPr>
        <w:spacing w:line="500" w:lineRule="exact"/>
        <w:ind w:firstLine="551" w:firstLineChars="196"/>
        <w:rPr>
          <w:rFonts w:hint="eastAsia" w:ascii="仿宋" w:hAnsi="仿宋" w:eastAsia="仿宋" w:cs="仿宋"/>
          <w:b/>
          <w:sz w:val="28"/>
          <w:szCs w:val="28"/>
          <w:highlight w:val="yellow"/>
        </w:rPr>
      </w:pPr>
      <w:r>
        <w:rPr>
          <w:rFonts w:hint="eastAsia" w:ascii="仿宋" w:hAnsi="仿宋" w:eastAsia="仿宋" w:cs="仿宋"/>
          <w:b/>
          <w:sz w:val="28"/>
          <w:szCs w:val="28"/>
        </w:rPr>
        <w:t>四、优秀硕士毕业生荣誉：</w:t>
      </w:r>
      <w:r>
        <w:rPr>
          <w:rFonts w:hint="eastAsia" w:ascii="仿宋" w:hAnsi="仿宋" w:eastAsia="仿宋" w:cs="仿宋"/>
          <w:sz w:val="28"/>
          <w:szCs w:val="28"/>
        </w:rPr>
        <w:t>省级（20分）；校级（15分），按最高分计算。</w:t>
      </w:r>
    </w:p>
    <w:p>
      <w:pPr>
        <w:spacing w:line="500" w:lineRule="exact"/>
        <w:ind w:firstLine="551" w:firstLineChars="196"/>
        <w:rPr>
          <w:rFonts w:hint="eastAsia" w:ascii="仿宋" w:hAnsi="仿宋" w:eastAsia="仿宋" w:cs="仿宋"/>
          <w:sz w:val="28"/>
          <w:szCs w:val="28"/>
        </w:rPr>
      </w:pPr>
      <w:r>
        <w:rPr>
          <w:rFonts w:hint="eastAsia" w:ascii="仿宋" w:hAnsi="仿宋" w:eastAsia="仿宋" w:cs="仿宋"/>
          <w:b/>
          <w:sz w:val="28"/>
          <w:szCs w:val="28"/>
        </w:rPr>
        <w:t>五、学习成绩</w:t>
      </w:r>
    </w:p>
    <w:p>
      <w:pPr>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按照硕士阶段培养计划规定的全部课程的平均成绩计算。计算公式如下：</w:t>
      </w:r>
    </w:p>
    <w:p>
      <w:pPr>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 xml:space="preserve">              ∑（各门课程成绩）</w:t>
      </w:r>
    </w:p>
    <w:p>
      <w:pPr>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平均成绩 = ---------------------- （四舍五入保留小数点后两位数）</w:t>
      </w:r>
    </w:p>
    <w:p>
      <w:pPr>
        <w:spacing w:line="440" w:lineRule="exact"/>
        <w:ind w:firstLine="686" w:firstLineChars="245"/>
        <w:rPr>
          <w:rFonts w:hint="eastAsia" w:ascii="仿宋" w:hAnsi="仿宋" w:eastAsia="仿宋" w:cs="仿宋"/>
          <w:sz w:val="28"/>
          <w:szCs w:val="28"/>
        </w:rPr>
      </w:pPr>
      <w:r>
        <w:rPr>
          <w:rFonts w:hint="eastAsia" w:ascii="仿宋" w:hAnsi="仿宋" w:eastAsia="仿宋" w:cs="仿宋"/>
          <w:sz w:val="28"/>
          <w:szCs w:val="28"/>
        </w:rPr>
        <w:t xml:space="preserve">                 总课程数</w:t>
      </w:r>
    </w:p>
    <w:p>
      <w:pPr>
        <w:spacing w:line="440" w:lineRule="exact"/>
        <w:ind w:firstLine="546" w:firstLineChars="195"/>
        <w:rPr>
          <w:rFonts w:hint="eastAsia" w:ascii="仿宋" w:hAnsi="仿宋" w:eastAsia="仿宋" w:cs="仿宋"/>
          <w:sz w:val="28"/>
          <w:szCs w:val="28"/>
        </w:rPr>
      </w:pPr>
      <w:r>
        <w:rPr>
          <w:rFonts w:hint="eastAsia" w:ascii="仿宋" w:hAnsi="仿宋" w:eastAsia="仿宋" w:cs="仿宋"/>
          <w:sz w:val="28"/>
          <w:szCs w:val="28"/>
        </w:rPr>
        <w:t>得出的平均成绩按以下标准进行加分：</w:t>
      </w:r>
    </w:p>
    <w:p>
      <w:pPr>
        <w:spacing w:line="440" w:lineRule="exact"/>
        <w:ind w:firstLine="546" w:firstLineChars="195"/>
        <w:rPr>
          <w:rFonts w:hint="eastAsia" w:ascii="仿宋" w:hAnsi="仿宋" w:eastAsia="仿宋" w:cs="仿宋"/>
          <w:sz w:val="28"/>
          <w:szCs w:val="28"/>
        </w:rPr>
      </w:pPr>
      <w:r>
        <w:rPr>
          <w:rFonts w:hint="eastAsia" w:ascii="仿宋" w:hAnsi="仿宋" w:eastAsia="仿宋" w:cs="仿宋"/>
          <w:sz w:val="28"/>
          <w:szCs w:val="28"/>
        </w:rPr>
        <w:t xml:space="preserve">平均成绩≥90（12分）； </w:t>
      </w:r>
    </w:p>
    <w:p>
      <w:pPr>
        <w:spacing w:line="440" w:lineRule="exact"/>
        <w:ind w:firstLine="546" w:firstLineChars="195"/>
        <w:rPr>
          <w:rFonts w:hint="eastAsia" w:ascii="仿宋" w:hAnsi="仿宋" w:eastAsia="仿宋" w:cs="仿宋"/>
          <w:sz w:val="28"/>
          <w:szCs w:val="28"/>
        </w:rPr>
      </w:pPr>
      <w:r>
        <w:rPr>
          <w:rFonts w:hint="eastAsia" w:ascii="仿宋" w:hAnsi="仿宋" w:eastAsia="仿宋" w:cs="仿宋"/>
          <w:sz w:val="28"/>
          <w:szCs w:val="28"/>
        </w:rPr>
        <w:t xml:space="preserve">80≤平均成绩＜90，所加分值=平均成绩-78； </w:t>
      </w:r>
    </w:p>
    <w:p>
      <w:pPr>
        <w:spacing w:line="440" w:lineRule="exact"/>
        <w:ind w:firstLine="546" w:firstLineChars="195"/>
        <w:rPr>
          <w:rFonts w:hint="eastAsia" w:ascii="仿宋" w:hAnsi="仿宋" w:eastAsia="仿宋" w:cs="仿宋"/>
          <w:sz w:val="28"/>
          <w:szCs w:val="28"/>
        </w:rPr>
      </w:pPr>
      <w:r>
        <w:rPr>
          <w:rFonts w:hint="eastAsia" w:ascii="仿宋" w:hAnsi="仿宋" w:eastAsia="仿宋" w:cs="仿宋"/>
          <w:sz w:val="28"/>
          <w:szCs w:val="28"/>
        </w:rPr>
        <w:t>平均成绩＜80分（1.5分）。</w:t>
      </w:r>
    </w:p>
    <w:p>
      <w:pPr>
        <w:spacing w:line="50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六、硕士就读于</w:t>
      </w:r>
      <w:r>
        <w:rPr>
          <w:rFonts w:hint="eastAsia" w:ascii="仿宋" w:hAnsi="仿宋" w:eastAsia="仿宋" w:cs="仿宋"/>
          <w:b/>
          <w:sz w:val="28"/>
          <w:szCs w:val="28"/>
          <w:lang w:eastAsia="zh-CN"/>
        </w:rPr>
        <w:t>双一流高校</w:t>
      </w:r>
      <w:r>
        <w:rPr>
          <w:rFonts w:hint="eastAsia" w:ascii="仿宋" w:hAnsi="仿宋" w:eastAsia="仿宋" w:cs="仿宋"/>
          <w:sz w:val="28"/>
          <w:szCs w:val="28"/>
        </w:rPr>
        <w:t>（3分）。</w:t>
      </w:r>
    </w:p>
    <w:p>
      <w:pPr>
        <w:spacing w:line="50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七、硕博连读生</w:t>
      </w:r>
      <w:r>
        <w:rPr>
          <w:rFonts w:hint="eastAsia" w:ascii="仿宋" w:hAnsi="仿宋" w:eastAsia="仿宋" w:cs="仿宋"/>
          <w:sz w:val="28"/>
          <w:szCs w:val="28"/>
        </w:rPr>
        <w:t>（18分）。</w:t>
      </w:r>
    </w:p>
    <w:p>
      <w:pPr>
        <w:autoSpaceDN w:val="0"/>
        <w:spacing w:line="440" w:lineRule="exact"/>
        <w:ind w:firstLine="420"/>
        <w:rPr>
          <w:rFonts w:hint="eastAsia" w:ascii="仿宋" w:hAnsi="仿宋" w:eastAsia="仿宋" w:cs="仿宋"/>
          <w:bCs/>
          <w:sz w:val="28"/>
          <w:szCs w:val="28"/>
        </w:rPr>
      </w:pPr>
    </w:p>
    <w:p>
      <w:pPr>
        <w:autoSpaceDN w:val="0"/>
        <w:spacing w:line="440" w:lineRule="exact"/>
        <w:ind w:firstLine="420"/>
        <w:rPr>
          <w:rFonts w:hint="eastAsia" w:ascii="仿宋" w:hAnsi="仿宋" w:eastAsia="仿宋" w:cs="仿宋"/>
          <w:bCs/>
          <w:sz w:val="28"/>
          <w:szCs w:val="28"/>
        </w:rPr>
      </w:pPr>
      <w:r>
        <w:rPr>
          <w:rFonts w:hint="eastAsia" w:ascii="仿宋" w:hAnsi="仿宋" w:eastAsia="仿宋" w:cs="仿宋"/>
          <w:bCs/>
          <w:sz w:val="28"/>
          <w:szCs w:val="28"/>
        </w:rPr>
        <w:t>注：</w:t>
      </w:r>
    </w:p>
    <w:p>
      <w:pPr>
        <w:autoSpaceDN w:val="0"/>
        <w:spacing w:line="440" w:lineRule="exact"/>
        <w:ind w:firstLine="420"/>
        <w:rPr>
          <w:rFonts w:hint="eastAsia" w:ascii="仿宋" w:hAnsi="仿宋" w:eastAsia="仿宋" w:cs="仿宋"/>
          <w:bCs/>
          <w:sz w:val="28"/>
          <w:szCs w:val="28"/>
        </w:rPr>
      </w:pPr>
      <w:r>
        <w:rPr>
          <w:rFonts w:hint="eastAsia" w:ascii="仿宋" w:hAnsi="仿宋" w:eastAsia="仿宋" w:cs="仿宋"/>
          <w:bCs/>
          <w:sz w:val="28"/>
          <w:szCs w:val="28"/>
        </w:rPr>
        <w:t>1.以上各项的分值计算，按照四舍五入保留小数点后两位数。</w:t>
      </w:r>
    </w:p>
    <w:p>
      <w:pPr>
        <w:autoSpaceDN w:val="0"/>
        <w:spacing w:line="440" w:lineRule="exact"/>
        <w:ind w:firstLine="420"/>
        <w:rPr>
          <w:rFonts w:hint="eastAsia" w:ascii="仿宋" w:hAnsi="仿宋" w:eastAsia="仿宋" w:cs="仿宋"/>
          <w:bCs/>
          <w:sz w:val="28"/>
          <w:szCs w:val="28"/>
        </w:rPr>
      </w:pPr>
      <w:r>
        <w:rPr>
          <w:rFonts w:hint="eastAsia" w:ascii="仿宋" w:hAnsi="仿宋" w:eastAsia="仿宋" w:cs="仿宋"/>
          <w:bCs/>
          <w:sz w:val="28"/>
          <w:szCs w:val="28"/>
        </w:rPr>
        <w:t>2.根据总分进行排序。如总分相同，则比较科学研究的得分；如科学研究得分相同，则比较学习成绩得分。</w:t>
      </w:r>
    </w:p>
    <w:p>
      <w:pPr>
        <w:spacing w:line="360" w:lineRule="auto"/>
        <w:ind w:firstLine="420"/>
        <w:jc w:val="left"/>
        <w:rPr>
          <w:rFonts w:hint="eastAsia" w:ascii="仿宋" w:hAnsi="仿宋" w:eastAsia="仿宋" w:cs="仿宋"/>
          <w:bCs/>
          <w:sz w:val="28"/>
          <w:szCs w:val="28"/>
        </w:rPr>
      </w:pPr>
      <w:r>
        <w:rPr>
          <w:rFonts w:hint="eastAsia" w:ascii="仿宋" w:hAnsi="仿宋" w:eastAsia="仿宋" w:cs="仿宋"/>
          <w:bCs/>
          <w:sz w:val="28"/>
          <w:szCs w:val="28"/>
        </w:rPr>
        <w:t>3.直博生以博士生新生身份参与学业奖学金的评选。</w:t>
      </w:r>
    </w:p>
    <w:p>
      <w:pPr>
        <w:autoSpaceDN w:val="0"/>
        <w:spacing w:line="440" w:lineRule="exact"/>
        <w:ind w:firstLine="420"/>
        <w:rPr>
          <w:rFonts w:hint="eastAsia" w:ascii="仿宋" w:hAnsi="仿宋" w:eastAsia="仿宋" w:cs="仿宋"/>
          <w:sz w:val="28"/>
          <w:szCs w:val="28"/>
        </w:rPr>
      </w:pPr>
      <w:r>
        <w:rPr>
          <w:rFonts w:hint="eastAsia" w:ascii="仿宋" w:hAnsi="仿宋" w:eastAsia="仿宋" w:cs="仿宋"/>
          <w:sz w:val="28"/>
          <w:szCs w:val="28"/>
        </w:rPr>
        <w:t>4.其他未尽说明加分情况，由学院研究生学业奖学金评审委员会裁定解释。</w:t>
      </w:r>
    </w:p>
    <w:p>
      <w:pPr>
        <w:autoSpaceDN w:val="0"/>
        <w:spacing w:line="440" w:lineRule="exact"/>
        <w:ind w:firstLine="420"/>
        <w:rPr>
          <w:rFonts w:hint="eastAsia" w:ascii="仿宋" w:hAnsi="仿宋" w:eastAsia="仿宋" w:cs="仿宋"/>
          <w:sz w:val="28"/>
          <w:szCs w:val="28"/>
        </w:rPr>
      </w:pPr>
    </w:p>
    <w:p>
      <w:pPr>
        <w:autoSpaceDN w:val="0"/>
        <w:spacing w:line="440" w:lineRule="exact"/>
        <w:ind w:firstLine="420"/>
        <w:jc w:val="right"/>
        <w:rPr>
          <w:rFonts w:hint="eastAsia" w:ascii="仿宋" w:hAnsi="仿宋" w:eastAsia="仿宋" w:cs="仿宋"/>
          <w:sz w:val="28"/>
          <w:szCs w:val="28"/>
        </w:rPr>
      </w:pPr>
      <w:r>
        <w:rPr>
          <w:rFonts w:hint="eastAsia" w:ascii="仿宋" w:hAnsi="仿宋" w:eastAsia="仿宋" w:cs="仿宋"/>
          <w:sz w:val="28"/>
          <w:szCs w:val="28"/>
        </w:rPr>
        <w:t>生命科学学院党委</w:t>
      </w:r>
    </w:p>
    <w:p>
      <w:pPr>
        <w:ind w:firstLine="6160" w:firstLineChars="2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年</w:t>
      </w:r>
      <w:r>
        <w:rPr>
          <w:rFonts w:hint="eastAsia" w:ascii="仿宋" w:hAnsi="仿宋" w:eastAsia="仿宋" w:cs="仿宋"/>
          <w:sz w:val="28"/>
          <w:szCs w:val="28"/>
          <w:lang w:val="en-US" w:eastAsia="zh-CN"/>
        </w:rPr>
        <w:t>9</w:t>
      </w:r>
      <w:r>
        <w:rPr>
          <w:rFonts w:hint="eastAsia" w:ascii="仿宋" w:hAnsi="仿宋" w:eastAsia="仿宋" w:cs="仿宋"/>
          <w:sz w:val="28"/>
          <w:szCs w:val="28"/>
        </w:rPr>
        <w:t>月</w:t>
      </w:r>
      <w:r>
        <w:rPr>
          <w:rFonts w:hint="eastAsia" w:ascii="仿宋" w:hAnsi="仿宋" w:eastAsia="仿宋" w:cs="仿宋"/>
          <w:sz w:val="28"/>
          <w:szCs w:val="28"/>
          <w:lang w:val="en-US" w:eastAsia="zh-CN"/>
        </w:rPr>
        <w:t>2</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EA48C62B-3AFB-49B4-B5FE-904888673672}"/>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大标宋简体">
    <w:panose1 w:val="02000000000000000000"/>
    <w:charset w:val="86"/>
    <w:family w:val="auto"/>
    <w:pitch w:val="default"/>
    <w:sig w:usb0="A00002BF" w:usb1="184F6CFA" w:usb2="00000012" w:usb3="00000000" w:csb0="00040001" w:csb1="00000000"/>
  </w:font>
  <w:font w:name="方正公文小标宋">
    <w:panose1 w:val="02000500000000000000"/>
    <w:charset w:val="86"/>
    <w:family w:val="auto"/>
    <w:pitch w:val="default"/>
    <w:sig w:usb0="A00002BF" w:usb1="38CF7CFA" w:usb2="00000016" w:usb3="00000000" w:csb0="00040001" w:csb1="00000000"/>
    <w:embedRegular r:id="rId2" w:fontKey="{F3A48879-401D-49FC-8497-A1C45B6BA8A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MjE5N2IxNDdmODI5ZTY5ZDAyZDc0NDg3YjI4MjIifQ=="/>
  </w:docVars>
  <w:rsids>
    <w:rsidRoot w:val="00EF3866"/>
    <w:rsid w:val="00615463"/>
    <w:rsid w:val="00AF4742"/>
    <w:rsid w:val="00EF3866"/>
    <w:rsid w:val="01733A9C"/>
    <w:rsid w:val="0218279B"/>
    <w:rsid w:val="2D0E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360" w:lineRule="auto"/>
      <w:ind w:firstLine="420"/>
    </w:pPr>
    <w:rPr>
      <w:rFonts w:ascii="Times New Roman" w:hAnsi="Times New Roman" w:cs="Times New Roman"/>
      <w:szCs w:val="24"/>
      <w:u w:val="single"/>
    </w:r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rFonts w:ascii="Calibri" w:hAnsi="Calibri" w:cs="Arial"/>
      <w:kern w:val="2"/>
      <w:sz w:val="18"/>
      <w:szCs w:val="18"/>
    </w:rPr>
  </w:style>
  <w:style w:type="character" w:customStyle="1" w:styleId="9">
    <w:name w:val="页脚 Char"/>
    <w:basedOn w:val="7"/>
    <w:link w:val="4"/>
    <w:uiPriority w:val="0"/>
    <w:rPr>
      <w:rFonts w:ascii="Calibri" w:hAnsi="Calibri"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249</Words>
  <Characters>1423</Characters>
  <Lines>11</Lines>
  <Paragraphs>3</Paragraphs>
  <TotalTime>2</TotalTime>
  <ScaleCrop>false</ScaleCrop>
  <LinksUpToDate>false</LinksUpToDate>
  <CharactersWithSpaces>1669</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Mr.Miaorence</cp:lastModifiedBy>
  <dcterms:modified xsi:type="dcterms:W3CDTF">2022-09-02T03:53:04Z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971B6202773A4BBFA0B80BD3E2F1888E</vt:lpwstr>
  </property>
</Properties>
</file>